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8DD" w:rsidRPr="002648DD" w:rsidRDefault="002648DD" w:rsidP="002648DD">
      <w:pPr>
        <w:spacing w:line="360" w:lineRule="auto"/>
        <w:jc w:val="center"/>
        <w:rPr>
          <w:rFonts w:ascii="Arial" w:hAnsi="Arial" w:cs="Arial"/>
          <w:b/>
          <w:sz w:val="28"/>
          <w:szCs w:val="28"/>
        </w:rPr>
      </w:pPr>
    </w:p>
    <w:p w:rsidR="002648DD" w:rsidRPr="002648DD" w:rsidRDefault="002648DD" w:rsidP="002648DD">
      <w:pPr>
        <w:spacing w:line="240" w:lineRule="auto"/>
        <w:jc w:val="center"/>
        <w:rPr>
          <w:rFonts w:ascii="Arial" w:hAnsi="Arial" w:cs="Arial"/>
          <w:b/>
          <w:sz w:val="32"/>
          <w:szCs w:val="32"/>
        </w:rPr>
      </w:pPr>
      <w:r w:rsidRPr="002648DD">
        <w:rPr>
          <w:rFonts w:ascii="Arial" w:hAnsi="Arial" w:cs="Arial"/>
          <w:b/>
          <w:sz w:val="32"/>
          <w:szCs w:val="32"/>
        </w:rPr>
        <w:t xml:space="preserve">BIOLOGICAL ACTIVITIES OF SOME NEW ENVIRONMENTALY SAFE 2-AMINOBENZOTHIAZOLE COMPLEXES OF </w:t>
      </w:r>
      <w:proofErr w:type="gramStart"/>
      <w:r w:rsidRPr="002648DD">
        <w:rPr>
          <w:rFonts w:ascii="Arial" w:hAnsi="Arial" w:cs="Arial"/>
          <w:b/>
          <w:sz w:val="32"/>
          <w:szCs w:val="32"/>
        </w:rPr>
        <w:t>COPPER(</w:t>
      </w:r>
      <w:proofErr w:type="gramEnd"/>
      <w:r w:rsidRPr="002648DD">
        <w:rPr>
          <w:rFonts w:ascii="Arial" w:hAnsi="Arial" w:cs="Arial"/>
          <w:b/>
          <w:sz w:val="32"/>
          <w:szCs w:val="32"/>
        </w:rPr>
        <w:t>II) DERIVED UNDER MICROWAVE IRRADIATION</w:t>
      </w:r>
    </w:p>
    <w:p w:rsidR="002648DD" w:rsidRPr="002648DD" w:rsidRDefault="002648DD" w:rsidP="002648DD">
      <w:pPr>
        <w:jc w:val="center"/>
        <w:rPr>
          <w:rFonts w:ascii="Arial" w:hAnsi="Arial" w:cs="Arial"/>
          <w:b/>
          <w:sz w:val="28"/>
          <w:szCs w:val="28"/>
        </w:rPr>
      </w:pPr>
      <w:r>
        <w:rPr>
          <w:rFonts w:ascii="Arial" w:hAnsi="Arial" w:cs="Arial"/>
          <w:b/>
          <w:sz w:val="28"/>
          <w:szCs w:val="28"/>
        </w:rPr>
        <w:t>Mathur Neha*, Kasana Ashok</w:t>
      </w:r>
      <w:r w:rsidRPr="002648DD">
        <w:rPr>
          <w:rFonts w:ascii="Arial" w:hAnsi="Arial" w:cs="Arial"/>
          <w:b/>
          <w:sz w:val="28"/>
          <w:szCs w:val="28"/>
        </w:rPr>
        <w:t>, Manna Biplab</w:t>
      </w:r>
    </w:p>
    <w:p w:rsidR="002648DD" w:rsidRPr="002648DD" w:rsidRDefault="002648DD" w:rsidP="002648DD">
      <w:pPr>
        <w:jc w:val="center"/>
        <w:rPr>
          <w:rFonts w:ascii="Arial" w:hAnsi="Arial" w:cs="Arial"/>
          <w:sz w:val="24"/>
          <w:szCs w:val="28"/>
        </w:rPr>
      </w:pPr>
      <w:r w:rsidRPr="002648DD">
        <w:rPr>
          <w:rFonts w:ascii="Arial" w:hAnsi="Arial" w:cs="Arial"/>
          <w:sz w:val="24"/>
          <w:szCs w:val="28"/>
        </w:rPr>
        <w:t xml:space="preserve">Department of Chemistry, </w:t>
      </w:r>
      <w:smartTag w:uri="urn:schemas-microsoft-com:office:smarttags" w:element="PlaceName">
        <w:r w:rsidRPr="002648DD">
          <w:rPr>
            <w:rFonts w:ascii="Arial" w:hAnsi="Arial" w:cs="Arial"/>
            <w:sz w:val="24"/>
            <w:szCs w:val="28"/>
          </w:rPr>
          <w:t>Govt.</w:t>
        </w:r>
      </w:smartTag>
      <w:r w:rsidRPr="002648DD">
        <w:rPr>
          <w:rFonts w:ascii="Arial" w:hAnsi="Arial" w:cs="Arial"/>
          <w:sz w:val="24"/>
          <w:szCs w:val="28"/>
        </w:rPr>
        <w:t xml:space="preserve"> </w:t>
      </w:r>
      <w:smartTag w:uri="urn:schemas-microsoft-com:office:smarttags" w:element="PlaceName">
        <w:r w:rsidRPr="002648DD">
          <w:rPr>
            <w:rFonts w:ascii="Arial" w:hAnsi="Arial" w:cs="Arial"/>
            <w:sz w:val="24"/>
            <w:szCs w:val="28"/>
          </w:rPr>
          <w:t>P.G.</w:t>
        </w:r>
      </w:smartTag>
      <w:r w:rsidRPr="002648DD">
        <w:rPr>
          <w:rFonts w:ascii="Arial" w:hAnsi="Arial" w:cs="Arial"/>
          <w:sz w:val="24"/>
          <w:szCs w:val="28"/>
        </w:rPr>
        <w:t xml:space="preserve"> </w:t>
      </w:r>
      <w:smartTag w:uri="urn:schemas-microsoft-com:office:smarttags" w:element="PlaceType">
        <w:r w:rsidRPr="002648DD">
          <w:rPr>
            <w:rFonts w:ascii="Arial" w:hAnsi="Arial" w:cs="Arial"/>
            <w:sz w:val="24"/>
            <w:szCs w:val="28"/>
          </w:rPr>
          <w:t>College</w:t>
        </w:r>
      </w:smartTag>
      <w:r w:rsidRPr="002648DD">
        <w:rPr>
          <w:rFonts w:ascii="Arial" w:hAnsi="Arial" w:cs="Arial"/>
          <w:sz w:val="24"/>
          <w:szCs w:val="28"/>
        </w:rPr>
        <w:t xml:space="preserve">, Dausa, </w:t>
      </w:r>
      <w:smartTag w:uri="urn:schemas-microsoft-com:office:smarttags" w:element="place">
        <w:smartTag w:uri="urn:schemas-microsoft-com:office:smarttags" w:element="PlaceType">
          <w:r w:rsidRPr="002648DD">
            <w:rPr>
              <w:rFonts w:ascii="Arial" w:hAnsi="Arial" w:cs="Arial"/>
              <w:sz w:val="24"/>
              <w:szCs w:val="28"/>
            </w:rPr>
            <w:t>University</w:t>
          </w:r>
        </w:smartTag>
        <w:r w:rsidRPr="002648DD">
          <w:rPr>
            <w:rFonts w:ascii="Arial" w:hAnsi="Arial" w:cs="Arial"/>
            <w:sz w:val="24"/>
            <w:szCs w:val="28"/>
          </w:rPr>
          <w:t xml:space="preserve"> of </w:t>
        </w:r>
        <w:smartTag w:uri="urn:schemas-microsoft-com:office:smarttags" w:element="PlaceName">
          <w:r w:rsidRPr="002648DD">
            <w:rPr>
              <w:rFonts w:ascii="Arial" w:hAnsi="Arial" w:cs="Arial"/>
              <w:sz w:val="24"/>
              <w:szCs w:val="28"/>
            </w:rPr>
            <w:t>Rajasthan</w:t>
          </w:r>
        </w:smartTag>
      </w:smartTag>
      <w:r w:rsidRPr="002648DD">
        <w:rPr>
          <w:rFonts w:ascii="Arial" w:hAnsi="Arial" w:cs="Arial"/>
          <w:sz w:val="24"/>
          <w:szCs w:val="28"/>
        </w:rPr>
        <w:t>, Jaipur</w:t>
      </w:r>
    </w:p>
    <w:p w:rsidR="002648DD" w:rsidRPr="002648DD" w:rsidRDefault="002648DD" w:rsidP="002648DD">
      <w:pPr>
        <w:spacing w:line="360" w:lineRule="auto"/>
        <w:jc w:val="center"/>
        <w:rPr>
          <w:rFonts w:ascii="Arial" w:hAnsi="Arial" w:cs="Arial"/>
          <w:sz w:val="24"/>
          <w:szCs w:val="28"/>
        </w:rPr>
      </w:pPr>
      <w:r w:rsidRPr="002648DD">
        <w:rPr>
          <w:rFonts w:ascii="Arial" w:hAnsi="Arial" w:cs="Arial"/>
          <w:sz w:val="24"/>
          <w:szCs w:val="28"/>
        </w:rPr>
        <w:t>Email - nehavmathur@yahoo.com</w:t>
      </w:r>
    </w:p>
    <w:p w:rsidR="002648DD" w:rsidRPr="002648DD" w:rsidRDefault="002648DD" w:rsidP="002648DD">
      <w:pPr>
        <w:spacing w:line="360" w:lineRule="auto"/>
        <w:jc w:val="both"/>
        <w:rPr>
          <w:rFonts w:ascii="Arial" w:hAnsi="Arial" w:cs="Arial"/>
          <w:b/>
          <w:caps/>
          <w:sz w:val="28"/>
          <w:szCs w:val="28"/>
        </w:rPr>
      </w:pPr>
      <w:r w:rsidRPr="002648DD">
        <w:rPr>
          <w:rFonts w:ascii="Arial" w:hAnsi="Arial" w:cs="Arial"/>
          <w:b/>
          <w:caps/>
          <w:sz w:val="28"/>
          <w:szCs w:val="28"/>
        </w:rPr>
        <w:t>Abstract</w:t>
      </w:r>
    </w:p>
    <w:p w:rsidR="002648DD" w:rsidRPr="002648DD" w:rsidRDefault="002648DD" w:rsidP="002648DD">
      <w:pPr>
        <w:spacing w:line="240" w:lineRule="auto"/>
        <w:ind w:firstLine="720"/>
        <w:jc w:val="both"/>
        <w:rPr>
          <w:rFonts w:ascii="Arial" w:hAnsi="Arial" w:cs="Arial"/>
          <w:sz w:val="24"/>
          <w:szCs w:val="24"/>
        </w:rPr>
      </w:pPr>
      <w:r w:rsidRPr="002648DD">
        <w:rPr>
          <w:rFonts w:ascii="Arial" w:hAnsi="Arial" w:cs="Arial"/>
          <w:sz w:val="24"/>
          <w:szCs w:val="24"/>
        </w:rPr>
        <w:t xml:space="preserve">Due to the surface active properties of </w:t>
      </w:r>
      <w:proofErr w:type="gramStart"/>
      <w:r w:rsidRPr="002648DD">
        <w:rPr>
          <w:rFonts w:ascii="Arial" w:hAnsi="Arial" w:cs="Arial"/>
          <w:sz w:val="24"/>
          <w:szCs w:val="24"/>
        </w:rPr>
        <w:t>copper(</w:t>
      </w:r>
      <w:proofErr w:type="gramEnd"/>
      <w:r w:rsidRPr="002648DD">
        <w:rPr>
          <w:rFonts w:ascii="Arial" w:hAnsi="Arial" w:cs="Arial"/>
          <w:sz w:val="24"/>
          <w:szCs w:val="24"/>
        </w:rPr>
        <w:t xml:space="preserve">II) </w:t>
      </w:r>
      <w:r w:rsidR="00220746">
        <w:rPr>
          <w:rFonts w:ascii="Arial" w:hAnsi="Arial" w:cs="Arial"/>
          <w:sz w:val="24"/>
          <w:szCs w:val="24"/>
        </w:rPr>
        <w:t>stearate</w:t>
      </w:r>
      <w:r w:rsidRPr="002648DD">
        <w:rPr>
          <w:rFonts w:ascii="Arial" w:hAnsi="Arial" w:cs="Arial"/>
          <w:sz w:val="24"/>
          <w:szCs w:val="24"/>
        </w:rPr>
        <w:t xml:space="preserve"> with 2-aminobenzothiazole, the complexes exhibit many applications in agrochemical industries as dispersing agents, foaming and wetting agents. In the present investigation a novel and simple method has been developed for the synthesis of some solid complexes of </w:t>
      </w:r>
      <w:proofErr w:type="gramStart"/>
      <w:r w:rsidRPr="002648DD">
        <w:rPr>
          <w:rFonts w:ascii="Arial" w:hAnsi="Arial" w:cs="Arial"/>
          <w:sz w:val="24"/>
          <w:szCs w:val="24"/>
        </w:rPr>
        <w:t>Cu(</w:t>
      </w:r>
      <w:proofErr w:type="gramEnd"/>
      <w:r w:rsidRPr="002648DD">
        <w:rPr>
          <w:rFonts w:ascii="Arial" w:hAnsi="Arial" w:cs="Arial"/>
          <w:sz w:val="24"/>
          <w:szCs w:val="24"/>
        </w:rPr>
        <w:t xml:space="preserve">II) </w:t>
      </w:r>
      <w:r w:rsidR="00220746">
        <w:rPr>
          <w:rFonts w:ascii="Arial" w:hAnsi="Arial" w:cs="Arial"/>
          <w:sz w:val="24"/>
          <w:szCs w:val="24"/>
        </w:rPr>
        <w:t>stearate</w:t>
      </w:r>
      <w:r w:rsidRPr="002648DD">
        <w:rPr>
          <w:rFonts w:ascii="Arial" w:hAnsi="Arial" w:cs="Arial"/>
          <w:sz w:val="24"/>
          <w:szCs w:val="24"/>
        </w:rPr>
        <w:t xml:space="preserve"> with 2-amino-6-chlorobenzothiazole and 2-amino-6-methylbenzothiazole under microwave irradiation these compounds were also obtained with conventional heating procedures to compare them those obtained with microwave and characterized by elemental analysis and their IR, NMR, ESR spectral studies. All the synthesized complexes are coloured and their purity was checked by </w:t>
      </w:r>
      <w:proofErr w:type="gramStart"/>
      <w:r w:rsidRPr="002648DD">
        <w:rPr>
          <w:rFonts w:ascii="Arial" w:hAnsi="Arial" w:cs="Arial"/>
          <w:sz w:val="24"/>
          <w:szCs w:val="24"/>
        </w:rPr>
        <w:t>Thin</w:t>
      </w:r>
      <w:proofErr w:type="gramEnd"/>
      <w:r w:rsidRPr="002648DD">
        <w:rPr>
          <w:rFonts w:ascii="Arial" w:hAnsi="Arial" w:cs="Arial"/>
          <w:sz w:val="24"/>
          <w:szCs w:val="24"/>
        </w:rPr>
        <w:t xml:space="preserve"> layer chromatography. The fungi toxicities of the ligands and complexes </w:t>
      </w:r>
      <w:proofErr w:type="gramStart"/>
      <w:r w:rsidRPr="002648DD">
        <w:rPr>
          <w:rFonts w:ascii="Arial" w:hAnsi="Arial" w:cs="Arial"/>
          <w:sz w:val="24"/>
          <w:szCs w:val="24"/>
        </w:rPr>
        <w:t>have been investigated</w:t>
      </w:r>
      <w:proofErr w:type="gramEnd"/>
      <w:r w:rsidRPr="002648DD">
        <w:rPr>
          <w:rFonts w:ascii="Arial" w:hAnsi="Arial" w:cs="Arial"/>
          <w:sz w:val="24"/>
          <w:szCs w:val="24"/>
        </w:rPr>
        <w:t xml:space="preserve"> using </w:t>
      </w:r>
      <w:r w:rsidRPr="002648DD">
        <w:rPr>
          <w:rFonts w:ascii="Arial" w:hAnsi="Arial" w:cs="Arial"/>
          <w:caps/>
          <w:sz w:val="24"/>
          <w:szCs w:val="24"/>
        </w:rPr>
        <w:t>a</w:t>
      </w:r>
      <w:r w:rsidRPr="002648DD">
        <w:rPr>
          <w:rFonts w:ascii="Arial" w:hAnsi="Arial" w:cs="Arial"/>
          <w:sz w:val="24"/>
          <w:szCs w:val="24"/>
        </w:rPr>
        <w:t xml:space="preserve">ntifungal </w:t>
      </w:r>
      <w:r w:rsidRPr="002648DD">
        <w:rPr>
          <w:rFonts w:ascii="Arial" w:hAnsi="Arial" w:cs="Arial"/>
          <w:caps/>
          <w:sz w:val="24"/>
          <w:szCs w:val="24"/>
        </w:rPr>
        <w:t>d</w:t>
      </w:r>
      <w:r w:rsidRPr="002648DD">
        <w:rPr>
          <w:rFonts w:ascii="Arial" w:hAnsi="Arial" w:cs="Arial"/>
          <w:sz w:val="24"/>
          <w:szCs w:val="24"/>
        </w:rPr>
        <w:t xml:space="preserve">isk </w:t>
      </w:r>
      <w:r w:rsidRPr="002648DD">
        <w:rPr>
          <w:rFonts w:ascii="Arial" w:hAnsi="Arial" w:cs="Arial"/>
          <w:caps/>
          <w:sz w:val="24"/>
          <w:szCs w:val="24"/>
        </w:rPr>
        <w:t>d</w:t>
      </w:r>
      <w:r w:rsidRPr="002648DD">
        <w:rPr>
          <w:rFonts w:ascii="Arial" w:hAnsi="Arial" w:cs="Arial"/>
          <w:sz w:val="24"/>
          <w:szCs w:val="24"/>
        </w:rPr>
        <w:t xml:space="preserve">iffusion susceptibility testing of yeasts of Caudida species approved guideline (M44-A, NCCLS, USA). The fungi toxicity results indicate that the </w:t>
      </w:r>
      <w:proofErr w:type="gramStart"/>
      <w:r w:rsidRPr="002648DD">
        <w:rPr>
          <w:rFonts w:ascii="Arial" w:hAnsi="Arial" w:cs="Arial"/>
          <w:sz w:val="24"/>
          <w:szCs w:val="24"/>
        </w:rPr>
        <w:t>strain of Candida species are</w:t>
      </w:r>
      <w:proofErr w:type="gramEnd"/>
      <w:r w:rsidRPr="002648DD">
        <w:rPr>
          <w:rFonts w:ascii="Arial" w:hAnsi="Arial" w:cs="Arial"/>
          <w:sz w:val="24"/>
          <w:szCs w:val="24"/>
        </w:rPr>
        <w:t xml:space="preserve"> susceptible towards complexes of benzotiazole and it is suggestive that with the increase in concentration of copper </w:t>
      </w:r>
      <w:r w:rsidR="00220746">
        <w:rPr>
          <w:rFonts w:ascii="Arial" w:hAnsi="Arial" w:cs="Arial"/>
          <w:sz w:val="24"/>
          <w:szCs w:val="24"/>
        </w:rPr>
        <w:t>stearate</w:t>
      </w:r>
      <w:r w:rsidRPr="002648DD">
        <w:rPr>
          <w:rFonts w:ascii="Arial" w:hAnsi="Arial" w:cs="Arial"/>
          <w:sz w:val="24"/>
          <w:szCs w:val="24"/>
        </w:rPr>
        <w:t xml:space="preserve"> complexes it may increase further. As our compound is environment friendly, it does not give any hazard reaction. </w:t>
      </w:r>
      <w:proofErr w:type="gramStart"/>
      <w:r w:rsidRPr="002648DD">
        <w:rPr>
          <w:rFonts w:ascii="Arial" w:hAnsi="Arial" w:cs="Arial"/>
          <w:sz w:val="24"/>
          <w:szCs w:val="24"/>
        </w:rPr>
        <w:t>So</w:t>
      </w:r>
      <w:proofErr w:type="gramEnd"/>
      <w:r w:rsidRPr="002648DD">
        <w:rPr>
          <w:rFonts w:ascii="Arial" w:hAnsi="Arial" w:cs="Arial"/>
          <w:sz w:val="24"/>
          <w:szCs w:val="24"/>
        </w:rPr>
        <w:t xml:space="preserve"> these complexes are very useful antifungal agents and are also safe to use. </w:t>
      </w:r>
      <w:proofErr w:type="gramStart"/>
      <w:r w:rsidRPr="002648DD">
        <w:rPr>
          <w:rFonts w:ascii="Arial" w:hAnsi="Arial" w:cs="Arial"/>
          <w:sz w:val="24"/>
          <w:szCs w:val="24"/>
        </w:rPr>
        <w:t>Hence</w:t>
      </w:r>
      <w:proofErr w:type="gramEnd"/>
      <w:r w:rsidRPr="002648DD">
        <w:rPr>
          <w:rFonts w:ascii="Arial" w:hAnsi="Arial" w:cs="Arial"/>
          <w:sz w:val="24"/>
          <w:szCs w:val="24"/>
        </w:rPr>
        <w:t xml:space="preserve"> the study of these new Cu complexes is very useful.   </w:t>
      </w:r>
    </w:p>
    <w:p w:rsidR="002648DD" w:rsidRPr="002648DD" w:rsidRDefault="002648DD" w:rsidP="002648DD">
      <w:pPr>
        <w:spacing w:line="240" w:lineRule="auto"/>
        <w:jc w:val="both"/>
        <w:rPr>
          <w:rFonts w:ascii="Arial" w:hAnsi="Arial" w:cs="Arial"/>
          <w:sz w:val="24"/>
          <w:szCs w:val="24"/>
        </w:rPr>
      </w:pPr>
      <w:r w:rsidRPr="002648DD">
        <w:rPr>
          <w:rFonts w:ascii="Arial" w:hAnsi="Arial" w:cs="Arial"/>
          <w:b/>
          <w:sz w:val="24"/>
          <w:szCs w:val="24"/>
        </w:rPr>
        <w:t xml:space="preserve">Key words: </w:t>
      </w:r>
      <w:r w:rsidRPr="002648DD">
        <w:rPr>
          <w:rFonts w:ascii="Arial" w:hAnsi="Arial" w:cs="Arial"/>
          <w:sz w:val="24"/>
          <w:szCs w:val="24"/>
        </w:rPr>
        <w:t xml:space="preserve">2-amino-6-chloro benzothiazole, 2-amino-6-methylbenzotiazole, </w:t>
      </w:r>
      <w:proofErr w:type="gramStart"/>
      <w:r w:rsidRPr="002648DD">
        <w:rPr>
          <w:rFonts w:ascii="Arial" w:hAnsi="Arial" w:cs="Arial"/>
          <w:sz w:val="24"/>
          <w:szCs w:val="24"/>
        </w:rPr>
        <w:t>copper(</w:t>
      </w:r>
      <w:proofErr w:type="gramEnd"/>
      <w:r w:rsidRPr="002648DD">
        <w:rPr>
          <w:rFonts w:ascii="Arial" w:hAnsi="Arial" w:cs="Arial"/>
          <w:sz w:val="24"/>
          <w:szCs w:val="24"/>
        </w:rPr>
        <w:t xml:space="preserve">II) </w:t>
      </w:r>
      <w:r w:rsidR="00220746">
        <w:rPr>
          <w:rFonts w:ascii="Arial" w:hAnsi="Arial" w:cs="Arial"/>
          <w:sz w:val="24"/>
          <w:szCs w:val="24"/>
        </w:rPr>
        <w:t>stearate</w:t>
      </w:r>
      <w:r w:rsidRPr="002648DD">
        <w:rPr>
          <w:rFonts w:ascii="Arial" w:hAnsi="Arial" w:cs="Arial"/>
          <w:sz w:val="24"/>
          <w:szCs w:val="24"/>
        </w:rPr>
        <w:t>, IR, NMR, ESR, antifungal activities, Disk Diffusion Method</w:t>
      </w:r>
    </w:p>
    <w:p w:rsidR="002648DD" w:rsidRPr="002648DD" w:rsidRDefault="002648DD" w:rsidP="002648DD">
      <w:pPr>
        <w:rPr>
          <w:rFonts w:ascii="Arial" w:hAnsi="Arial" w:cs="Arial"/>
        </w:rPr>
      </w:pPr>
    </w:p>
    <w:p w:rsidR="00F258EE" w:rsidRPr="002648DD" w:rsidRDefault="00F258EE">
      <w:pPr>
        <w:rPr>
          <w:rFonts w:ascii="Arial" w:hAnsi="Arial" w:cs="Arial"/>
        </w:rPr>
      </w:pPr>
    </w:p>
    <w:sectPr w:rsidR="00F258EE" w:rsidRPr="002648DD">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648DD"/>
    <w:rsid w:val="00220746"/>
    <w:rsid w:val="002648DD"/>
    <w:rsid w:val="00F258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275</Words>
  <Characters>1569</Characters>
  <Application>Microsoft Office Word</Application>
  <DocSecurity>0</DocSecurity>
  <Lines>13</Lines>
  <Paragraphs>3</Paragraphs>
  <ScaleCrop>false</ScaleCrop>
  <Company/>
  <LinksUpToDate>false</LinksUpToDate>
  <CharactersWithSpaces>1841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Heera</dc:creator>
  <cp:keywords/>
  <dc:description/>
  <cp:lastModifiedBy>Heera</cp:lastModifiedBy>
  <cp:revision>3</cp:revision>
  <dcterms:created xsi:type="dcterms:W3CDTF">2014-09-24T10:54:00Z</dcterms:created>
  <dcterms:modified xsi:type="dcterms:W3CDTF">2014-09-24T10:59:00Z</dcterms:modified>
</cp:coreProperties>
</file>